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E41FF" w14:textId="12DE14E7" w:rsidR="00AD7554" w:rsidRPr="00AD7554" w:rsidRDefault="00AD7554" w:rsidP="00890EC7">
      <w:pPr>
        <w:ind w:left="7788" w:firstLine="708"/>
        <w:rPr>
          <w:b/>
          <w:bCs/>
        </w:rPr>
      </w:pPr>
      <w:r w:rsidRPr="00AD7554">
        <w:rPr>
          <w:b/>
          <w:bCs/>
        </w:rPr>
        <w:t>Anlage 1</w:t>
      </w:r>
    </w:p>
    <w:p w14:paraId="59FDB738" w14:textId="77777777" w:rsidR="00AD7554" w:rsidRDefault="00AD7554" w:rsidP="00AD7554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Merkblatt zum Betriebspraktikum von </w:t>
      </w:r>
      <w:proofErr w:type="spellStart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>Schülerinnen</w:t>
      </w:r>
      <w:proofErr w:type="spellEnd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und </w:t>
      </w:r>
      <w:proofErr w:type="spellStart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>Schülern</w:t>
      </w:r>
      <w:proofErr w:type="spellEnd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</w:p>
    <w:p w14:paraId="1BA5395D" w14:textId="1B8106FA" w:rsidR="00AD7554" w:rsidRPr="00396241" w:rsidRDefault="00AD7554" w:rsidP="00AD7554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6B2D49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6B2D49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6B2D49">
        <w:rPr>
          <w:rFonts w:eastAsia="Times New Roman" w:cstheme="minorHAnsi"/>
          <w:sz w:val="16"/>
          <w:szCs w:val="16"/>
          <w:lang w:eastAsia="de-DE"/>
        </w:rPr>
        <w:t xml:space="preserve">. Verz. Nr. 7200) </w:t>
      </w:r>
    </w:p>
    <w:p w14:paraId="1E96D615" w14:textId="3FF568EE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nachfolgenden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Auszüge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dem „Erlass zur Ausgestaltung der Berufs- und Studienorientierung in Schulen“ (Erlass vom 8. Juni 2015,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ABl.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S. 217) geben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Organisation des Praktikums, Datenschutzbestimmungen sowie Regelungen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Unfallversicherungs- und Haftpflichtschutz wieder. </w:t>
      </w:r>
    </w:p>
    <w:p w14:paraId="1B9FB23B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</w:t>
      </w:r>
    </w:p>
    <w:p w14:paraId="588549AA" w14:textId="77777777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vielfältigen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Bildungsgänge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allgemeinbildender und beruflicher Schulen erfordern in der Regel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Vorbereitung auf die Berufs- und Arbeitswelt exemplarische Einsichten in das Arbeits-, Berufs- und Wirtschaftsleben der Unternehmen oder Betriebe. </w:t>
      </w:r>
    </w:p>
    <w:p w14:paraId="0C67DC7F" w14:textId="2A51798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Durch Zusammenarbeit zwischen Schulen und Unternehmen oder Betrieben sollen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2B1A73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aller Schulformen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Möglichkeiten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gegeben werden, exemplarische Einsichten in das Arbeits-, Berufs- und Wirtschaftsleben zu erhalten. Eigene Anschauungen und Erfahrungen betrieblicher Praxis,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Gespräche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Betriebsangehörigen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Erkundungen des betrieblichen Umfeldes vermitteln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2B1A73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wichtige Erkenntnisse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ihre berufliche Orientierung. Dies erleichtert den Einsatz handlungsorientierter Arbeitsformen im Unterricht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fördert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Einstieg in Berufsausbildung und -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82B088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Organisation </w:t>
      </w:r>
    </w:p>
    <w:p w14:paraId="3BBB1451" w14:textId="3224B498" w:rsidR="00AD7554" w:rsidRPr="002B1A73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Betriebspraktika sind nach Maßgabe der jeweiligen Stundentafeln bei allgemeinbildenden Schulen Bestandteile des Berufsorientierungsprozesses und bei beruflichen Schulen Bestandteile des beruflichen Lernbereichs. Unternehmen oder Betriebe sollen so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ausgewählt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werden, dass die angestrebten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erreicht werden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können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Dabei ist es wichtig, in Absprache mit den Praktikumsbetrieben geeignete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Beschäftigungsmöglichkeiten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zu finden. </w:t>
      </w:r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Unternehmen oder Betriebe sollen in zumutbarer Entfernung vom Wohnort der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b/>
          <w:bCs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b/>
          <w:bCs/>
          <w:sz w:val="21"/>
          <w:szCs w:val="21"/>
          <w:lang w:eastAsia="de-DE"/>
        </w:rPr>
        <w:t>/Schüler</w:t>
      </w:r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liegen und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möglichst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mit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öffentlichen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Verkehrsmitteln erreicht werden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können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. </w:t>
      </w:r>
    </w:p>
    <w:p w14:paraId="13074923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Rahmen der Berufsorientierung sollen sachkundige Personen in die Vor- und Nachbereitung des Betriebspraktikums einbezogen werden. Dazu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gehören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z.B. Personen der Unternehmen oder Betriebe, der Berufsberatung der Agentur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Arbeit, von Gewerkschaften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Arbeitgeberverbänden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von Kammern, Innungen, Jugend- und Auszubildendenvertretungen, Betriebs-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Personalräten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des Amtes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Arbeitsschutz und Sicherheitstechnik. </w:t>
      </w:r>
    </w:p>
    <w:p w14:paraId="198D71CC" w14:textId="1AB36D44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unterliegen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Dauer des Betriebspraktikums dem Weisungsrecht des Betriebspersonals. </w:t>
      </w:r>
    </w:p>
    <w:p w14:paraId="62536DC8" w14:textId="24AD65F0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Betriebspraktika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begründen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weder ein Ausbildungs- noch ein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Beschäftigungsverhältnis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Eine finanzielle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Vergütung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EF2A09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ist nach dem Gesetz zur Regelung eines allgemeinen Mindestlohns (Mindestlohngesetz – MiLoG in der jeweils geltenden Fassung) nicht vorgesehen. </w:t>
      </w:r>
    </w:p>
    <w:p w14:paraId="35A78738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Datenschutz </w:t>
      </w:r>
    </w:p>
    <w:p w14:paraId="76FB48F4" w14:textId="175247B4" w:rsidR="00AD7554" w:rsidRPr="00C23800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Erhalten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während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eines Betriebspraktikums in privaten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öffentlichen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Einrichtungen (z.B. Polizeiverwaltung, Banken und Sparkassen, Freie Berufe, Personalabteilungen, Bereiche mit Aufgaben der Kundenbetreuung,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Krankenhäuser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Pflegeheime oder sonstige soziale Einrichtungen sowie Entwicklungsabteilungen) Kenntnisse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personenbezogene Daten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firmenspezifische technische Konzepte, Prozesse oder Patente, ist das geltende Datenschutzrecht anzuwenden und die </w:t>
      </w:r>
      <w:r w:rsidRPr="00C23800">
        <w:rPr>
          <w:rFonts w:eastAsia="Times New Roman" w:cstheme="minorHAnsi"/>
          <w:b/>
          <w:bCs/>
          <w:sz w:val="21"/>
          <w:szCs w:val="21"/>
          <w:lang w:eastAsia="de-DE"/>
        </w:rPr>
        <w:t xml:space="preserve">Wahrung aller Betriebsgeheimnisse sicherzustellen. </w:t>
      </w:r>
    </w:p>
    <w:p w14:paraId="212AC223" w14:textId="465B6253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zu Beginn des Betriebspraktikums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an ihrem Arbeitsplatz zu bearbeitenden Daten zu belehren. Sie werden mit einer schriftlichen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Erklärung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„Datenschutz im Betriebspraktikum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- Verpflichtung zur Verschwiegenheit“ zur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ausdrücklichen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Verschwiegenheit verpflichtet. </w:t>
      </w:r>
    </w:p>
    <w:p w14:paraId="0066782F" w14:textId="1BE8896A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Lehrkräfte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das Betriebspraktikum betreuen, weisen bei der Vorbereitung,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Durchführung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Auswertung des Praktikums auf datenschutzrechtliche Fragestellungen hin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erklären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altersgemäß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Bedeutung der Verschwiegenheitspflicht. </w:t>
      </w:r>
    </w:p>
    <w:p w14:paraId="761D50C7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Bestimmungen des Jugendarbeitsschutzgesetzes und des Infektionsschutzgesetzes </w:t>
      </w:r>
    </w:p>
    <w:p w14:paraId="64C8CF76" w14:textId="41418A11" w:rsidR="00AD7554" w:rsidRDefault="00AD7554" w:rsidP="00DC1564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Betriebspraktika sind einem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Berufsausbildungsverhältnis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Es finden daher die Bestimmungen des Gesetzes zum Schutz der arbeitenden Jugend (Jugendarbeitsschutzgesetz -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vom 12. April 1976 (BGBl. I S. 965), zuletzt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geändert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Artikel 3 Absatz 7 des Gesetzes vom 20. April 2013 (BGBl. I S. 868) in der jeweils geltenden Fassung und des jeweiligen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Unfallversicherungsträgers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entsprechende Anwendung. – Soweit hier Stunden angesprochen sind, handelt es sich um Zeitstunden à 60 Minuten. </w:t>
      </w:r>
    </w:p>
    <w:p w14:paraId="0A5A7DA4" w14:textId="77777777" w:rsidR="00DC1564" w:rsidRPr="00CE2E27" w:rsidRDefault="00DC1564" w:rsidP="00DC1564">
      <w:pPr>
        <w:spacing w:after="0"/>
        <w:rPr>
          <w:rFonts w:eastAsia="Times New Roman" w:cstheme="minorHAnsi"/>
          <w:sz w:val="21"/>
          <w:szCs w:val="21"/>
          <w:lang w:eastAsia="de-DE"/>
        </w:rPr>
      </w:pPr>
    </w:p>
    <w:p w14:paraId="50EFC04C" w14:textId="1A8D7EAE" w:rsidR="00AD7554" w:rsidRPr="00DC1564" w:rsidRDefault="00AD7554" w:rsidP="00DC1564">
      <w:pPr>
        <w:numPr>
          <w:ilvl w:val="0"/>
          <w:numId w:val="3"/>
        </w:numPr>
        <w:spacing w:after="120" w:line="240" w:lineRule="auto"/>
        <w:ind w:left="714" w:hanging="357"/>
        <w:contextualSpacing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Jugendliche oder Jugendlicher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ist, wer 15, aber noch nicht 18 Jahre alt ist (§ 2 Abs. 2). </w:t>
      </w:r>
    </w:p>
    <w:p w14:paraId="58489E56" w14:textId="24BABCB3" w:rsidR="00AD7554" w:rsidRPr="00DC1564" w:rsidRDefault="00AD7554" w:rsidP="00DC1564">
      <w:pPr>
        <w:numPr>
          <w:ilvl w:val="0"/>
          <w:numId w:val="3"/>
        </w:numPr>
        <w:spacing w:after="120" w:line="240" w:lineRule="auto"/>
        <w:ind w:left="714" w:hanging="357"/>
        <w:contextualSpacing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Kind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ist, wer noch nicht 15 Jahre alt ist (§ 2 Abs. 1). </w:t>
      </w:r>
    </w:p>
    <w:p w14:paraId="183DEA7B" w14:textId="36057132" w:rsidR="00AD7554" w:rsidRPr="00DC1564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Jugendliche, die der Vollzeitschulpflicht unterliegen, gelten als Kinder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2 Abs. 3). </w:t>
      </w:r>
    </w:p>
    <w:p w14:paraId="6A25FB0C" w14:textId="5508DA2C" w:rsidR="00AD7554" w:rsidRPr="00DC1564" w:rsidRDefault="00AD7554" w:rsidP="00DC156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bis zur Vollendung des 15. Lebensjahres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bis zu sieben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35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wöchentlich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nur mit leichten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sie geeigneten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5 Abs. 2 Satz 2 i. V. m. § 7 Satz 1 Nr.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Vorschriften der §§ 8 – 46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entsprechend anzuwenden; dabei kommen die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Berufsschule (§ 9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Prüfungen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außerbetriebliche Ausbildungsmaßnahmen (§ 10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Urlaub (§ 19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und Ausnahmen in besonderen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Fällen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21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nicht in Betracht. </w:t>
      </w:r>
    </w:p>
    <w:p w14:paraId="4E1CD8F2" w14:textId="23D0D8AE" w:rsidR="00AD7554" w:rsidRPr="00CE2E27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der Vollzeitschulpflicht nicht mehr unterliegen,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mehr als acht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40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wöchentlich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8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43BB90BC" w14:textId="77777777" w:rsidR="00AD7554" w:rsidRPr="00CE2E27" w:rsidRDefault="00AD7554" w:rsidP="00AD7554">
      <w:pPr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Die Arbeitszeit liegt Montag bis Freitag in der Zeit zwischen 6 und 20 Uhr (§ 14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Dabei gelten folgende Ausnahmen: </w:t>
      </w:r>
    </w:p>
    <w:p w14:paraId="0DAC4774" w14:textId="77777777" w:rsidR="00AD7554" w:rsidRPr="00CE2E27" w:rsidRDefault="00AD7554" w:rsidP="00AD7554">
      <w:pPr>
        <w:spacing w:before="100" w:beforeAutospacing="1" w:after="100" w:afterAutospacing="1"/>
        <w:ind w:left="72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1. Jugendliche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16 Jahre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a) im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- und Schaustellergewerbe bis 22 Uhr; b) in mehrschichtigen Betrieben bis 23 Uhr;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>c) in der Landwirtschaft ab 5 Uhr oder bis 21 Uhr;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d)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Konditoreien ab 5 Uhr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14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253DE7BD" w14:textId="77777777" w:rsidR="00AD7554" w:rsidRPr="00CE2E27" w:rsidRDefault="00AD7554" w:rsidP="00AD7554">
      <w:pPr>
        <w:spacing w:before="100" w:beforeAutospacing="1" w:after="100" w:afterAutospacing="1"/>
        <w:ind w:left="72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2. Jugendliche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17 Jahre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ab 4 Uhr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14 Abs. 3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5A41DA8A" w14:textId="3CDCE460" w:rsidR="00AD7554" w:rsidRPr="00DC1564" w:rsidRDefault="00AD7554" w:rsidP="00DC156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In den in § 16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aufgeführten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Ausnahmefällen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(z.B. Krankenanstalten und Heime, Verkaufsstellen,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Friseurbetriebe, Landwirtschaft,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können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der Vollzeitschulpflicht nicht mehr unterliegen auch an Samstagen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sein.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beträgt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keinem Fall mehr als acht Stunden. </w:t>
      </w:r>
    </w:p>
    <w:p w14:paraId="15A82DBF" w14:textId="44CDF9E2" w:rsidR="00AD7554" w:rsidRPr="00DC1564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ist die Zeit vom Beginn bis zum Ende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ohne die Ruhepausen (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§ 4 Abs. 1). </w:t>
      </w:r>
    </w:p>
    <w:p w14:paraId="5C27A659" w14:textId="4F3C2F92" w:rsidR="00AD7554" w:rsidRPr="00DC1564" w:rsidRDefault="00AD7554" w:rsidP="00DC1564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EF2A09">
        <w:rPr>
          <w:rFonts w:eastAsia="Times New Roman" w:cstheme="minorHAnsi"/>
          <w:sz w:val="21"/>
          <w:szCs w:val="21"/>
          <w:lang w:eastAsia="de-DE"/>
        </w:rPr>
        <w:t>ínnen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mindestens die nach § 11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vorgesehenen Ruhepausen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gewährt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werden. Danach sind bei einer Arbeitszeit von 4,5 Stunden eine oder mehrere im Voraus feststehende Ruhepausen von angemessener Dauer einzulegen. Bei einer Arbeitszeit von 4,5 bis 6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sie mindestens 30 Minuten, bei einer Arbeitszeit von mehr als 6 Stunden mindestens 60 Minuten betragen. Als Ruhepause gilt nur eine Arbeitsunterbrechung von mindestens 15 Minuten (§ 11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Ruhepausen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angemessener zeitlicher Lage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gewährt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frühestens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 Stunde nach Beginn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spätestens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 Stunde vor Ende der Arbeitszeit (§ 11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52E19E96" w14:textId="71D6D4C6" w:rsidR="00AD7554" w:rsidRPr="00DC1564" w:rsidRDefault="00AD7554" w:rsidP="00DC156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Schichtzeit ist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unter Hinzurechnung der Ruhepausen (§ 4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Schichtzeit darf bei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10 Stunden nicht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überschreiten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12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).</w:t>
      </w:r>
    </w:p>
    <w:p w14:paraId="3B1E2CF7" w14:textId="53AD2625" w:rsidR="00AD7554" w:rsidRPr="00DC1564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 Betreuung (§§ 32 - 46 Infektionsschutzgesetz IfSG) finden keine Anwendung, weil ein Block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Schülerpraktikums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oder einer berufsorientierenden Maßnahme nur den kurzen Zeitraum von in der Regel maximal 15 Arbeitstagen umfasst. </w:t>
      </w:r>
    </w:p>
    <w:p w14:paraId="69F533CB" w14:textId="27AE0307" w:rsidR="00AD7554" w:rsidRPr="00DC1564" w:rsidRDefault="00AD7554" w:rsidP="00DC156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Vor der erstmaligen Aufnahme einer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einer Gemeinschaftseinrichtung (Kinderkrippe,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Kindertagesstätte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Hort, Schule oder sonstige Bildungseinrichtung, Heim, Ferienlager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Einrichtung) ist es erforderlich, dass der Praktikumsbetrieb eine Belehrung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gesundheitlichen Anforderungen entsprechend § 35 des IfSG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durchführt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Teilnehmende an Maßnahmen zur Berufsorientierung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gesundheitlichen Anforderungen des § 34 IfSG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erfüllen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Hinsichtlich der gesundheitlichen Anforderungen gelten besondere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i.S. des § 42 IfSG (Herstellen, Behandeln und Inverkehrbringen von Lebensmitteln sowie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Küchen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Einrichtungen) aufnehmen wollen oder die in Gemeinschaftseinrichtungen i.S. des § 33 IfSG (Einrichtungen, in denen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überwiegend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Säuglinge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Kinder oder Jugendliche betreut werden) arbeiten wollen. Einzelheiten hierzu sind dem IfSG und den dazu ergangenen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Ausführungsbestimmungen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den in mehreren Sprachen vorliegenden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Merkblättern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zu entnehmen. </w:t>
      </w:r>
    </w:p>
    <w:p w14:paraId="2DD4CAAE" w14:textId="1B682F30" w:rsidR="00AD7554" w:rsidRPr="00DC1564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Bei einer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einer Klinik oder sonstigen Einrichtung des Gesundheitswesens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Schülerinnen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mit Personen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Berührung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kommen, durch die sie in ihrer Gesundheit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gefährdet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würden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.</w:t>
      </w:r>
    </w:p>
    <w:p w14:paraId="57703BDE" w14:textId="77777777" w:rsidR="00AD7554" w:rsidRPr="00CE2E27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Auf die besonderen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Beschäftigungseinschränkungen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-verbote bei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Arbeiten im Sinne des § 22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wird hingewiesen. Ausnahmen von diesen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Beschäftigungsverboten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im Rahmen der Berufsorientierung nicht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zulässig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B59881" w14:textId="77777777" w:rsidR="00AD7554" w:rsidRPr="00CE2E27" w:rsidRDefault="00AD7554" w:rsidP="00AD7554">
      <w:pPr>
        <w:rPr>
          <w:rFonts w:eastAsia="Times New Roman" w:cstheme="minorHAnsi"/>
          <w:b/>
          <w:bCs/>
          <w:sz w:val="21"/>
          <w:szCs w:val="21"/>
          <w:lang w:eastAsia="de-DE"/>
        </w:rPr>
      </w:pPr>
    </w:p>
    <w:p w14:paraId="5CA85312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Unfallversicherungsschutz </w:t>
      </w:r>
    </w:p>
    <w:p w14:paraId="4087BAF2" w14:textId="33BC3D3D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an einem Betriebspraktikum, einer Betriebserkundung oder einem Projekt im Sinne dieses Erlasses teilnehmen, sind nach § 2 Abs. 1 Nr. 8 b Siebtes Buch Sozialgesetzbuch - Gesetzliche Unfallversicherung (SGB VII) - (Artikel 1 des Gesetzes vom 7. August 1996, BGBl. I S. 1254) in der jeweils geltenden Fassung gesetzlich unfallversichert. </w:t>
      </w:r>
    </w:p>
    <w:p w14:paraId="321BB4D9" w14:textId="77777777" w:rsidR="00AD7554" w:rsidRPr="00CE2E27" w:rsidRDefault="00AD7554" w:rsidP="00AD7554">
      <w:pPr>
        <w:ind w:left="720"/>
        <w:rPr>
          <w:rFonts w:eastAsia="Times New Roman" w:cstheme="minorHAnsi"/>
          <w:sz w:val="21"/>
          <w:szCs w:val="21"/>
          <w:lang w:eastAsia="de-DE"/>
        </w:rPr>
      </w:pPr>
    </w:p>
    <w:p w14:paraId="6BF5C7FD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Haftpflichtversicherungsschutz </w:t>
      </w:r>
    </w:p>
    <w:p w14:paraId="4F0628F9" w14:textId="38B44BCC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an einem Betriebspraktikum teilnehmen, sind bei der Sparkassen- Versicherung gegen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der gesetzlichen Haftpflicht versichert. Falls Erziehungsberechtigte eine private Haftpflichtversicherung abgeschlossen haben, geht diese vor. Ausgeschlossen sind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an der Ladung sowie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durch die Inbetriebnahme des Kraftfahrzeuges am Kraftfahrzeug selbst oder durch das Kraftfahrzeug entstehen. </w:t>
      </w:r>
    </w:p>
    <w:p w14:paraId="3A5EC03C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Versicherungssummen je Versicherungsfall betragen: </w:t>
      </w:r>
    </w:p>
    <w:p w14:paraId="6001873A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1.100.000,-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Personenschäden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500.000,-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Sachschäden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51.500,-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allgemeiner Art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51.5000,-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Verletzung des Datenschutzes </w:t>
      </w:r>
    </w:p>
    <w:p w14:paraId="35AD9636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Gesamtleistung des Versicherers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Versicherungsfälle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eines Versicherungsjahres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beträgt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das Doppelte dieser Versicherungssummen. </w:t>
      </w:r>
    </w:p>
    <w:p w14:paraId="5F685CCC" w14:textId="44E44BF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Der Versicherungsschutz umfasst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Abänderung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der allgemeinen Versicherungsbedingungen insbesondere auch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wegen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Gegenständen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Einrichtungen eines Betriebes, die oben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aufgeführten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Verletzung des Datenschutzes sowie gegenseitige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auch wenn es sich um Geschwister handelt. </w:t>
      </w:r>
    </w:p>
    <w:p w14:paraId="41BCED61" w14:textId="5860A550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Ersatz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im Zusammenhang mit den ihnen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übertragenen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sondern nur bei Gelegenheit des Betriebspraktikums verursachen (z.B. mutwillige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gelten die allgemeinen haftungsrechtlichen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insbesondere also § 828 Abs. 3 BGB. Danach haftet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Minderjährige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oder ein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Minderjähriger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oder der das 7. Lebensjahr, aber nicht das 18. Lebensjahr vollendet hat,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sie oder er einem anderen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zufügt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wenn sie oder er bei der </w:t>
      </w: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Begehung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schädigenden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Handlung die zur Erkenntnis der Verantwortlichkeit erforderliche Einsicht hatte. Umfasst sind alle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Haftpflichtschäden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Kraftfahrzeugen beim Be- und Entladen und alle sich daraus ergebenden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EB71F7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Rahmen des Betriebspraktikums ist es verboten, ein Kraftfahrzeug zu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führen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Wird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einem wegen besonderer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Gefährdung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ausgeschlossenen Umfeld unerlaubt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eigenmächtig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ausgeführt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besteht kein Versicherungsschutz. </w:t>
      </w:r>
    </w:p>
    <w:p w14:paraId="6E7FCE65" w14:textId="0C37652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Der Versicherungsschutz erstreckt sich nicht auf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auf Auskunft, Berichtigung, Sperrung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Löschung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Daten sowie die hiermit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zusammenhängenden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Verfahrenskosten. Ferner sind nicht versichert Bußen, Strafen sowie Kosten solcher Verfahren. In Ermangelung zureichenden Deckungsschutzes entfallen Betriebspraktika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in gewerblichen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öffentlich-rechtlichen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Auskunftsdiensten. </w:t>
      </w:r>
    </w:p>
    <w:p w14:paraId="381DE557" w14:textId="478975B4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Mitunterzeichnung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Verpflichtungserklärung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zum „Datenschutz im Betriebspraktikum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– Verpflichtung zur Verschwiegenheit“ durch die Erziehungsberechtigten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begründet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keine Mithaftung der Betreffenden im Fall eines durch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Praktikumstätigkeit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verursachten Schadens im Bereich des Datenschutzes. </w:t>
      </w:r>
    </w:p>
    <w:p w14:paraId="6DF3FCC4" w14:textId="4FAD01BD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Schadensfall ist eine Auskunft bei den Erziehungsberechtigten bzw.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einzuholen, ob eine private Haftpflichtversicherung besteht. Ist dies nicht der Fall, so wird der Schadensfall durch die Schulleiterin oder den Schulleiter unter Angabe der Versicherungsnummer 32011 081 / 006 der </w:t>
      </w:r>
    </w:p>
    <w:p w14:paraId="4434D3F4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Sparkassen Versicherung </w:t>
      </w:r>
    </w:p>
    <w:p w14:paraId="39B40F15" w14:textId="77777777" w:rsidR="00AD7554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Zweigniederlassung Wiesbaden </w:t>
      </w:r>
    </w:p>
    <w:p w14:paraId="4BB3717E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>Bahnhofstraße 69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>65185 Wiesbaden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Telefon: 0611 178-0 </w:t>
      </w:r>
    </w:p>
    <w:p w14:paraId="3E15D8F3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Telefax: 0611 178-2700 gemeldet. </w:t>
      </w:r>
    </w:p>
    <w:p w14:paraId="6730A483" w14:textId="77777777" w:rsidR="00AD7554" w:rsidRPr="00F84599" w:rsidRDefault="00AD7554" w:rsidP="00AD7554">
      <w:pPr>
        <w:rPr>
          <w:rFonts w:cstheme="minorHAnsi"/>
        </w:rPr>
      </w:pPr>
    </w:p>
    <w:p w14:paraId="2B804A1B" w14:textId="023C2FAD" w:rsidR="00AD7554" w:rsidRPr="00AD7554" w:rsidRDefault="00AD7554" w:rsidP="00AD7554">
      <w:pPr>
        <w:tabs>
          <w:tab w:val="left" w:pos="1305"/>
        </w:tabs>
      </w:pPr>
    </w:p>
    <w:sectPr w:rsidR="00AD7554" w:rsidRPr="00AD7554" w:rsidSect="00E2690C">
      <w:headerReference w:type="default" r:id="rId7"/>
      <w:footerReference w:type="default" r:id="rId8"/>
      <w:headerReference w:type="first" r:id="rId9"/>
      <w:pgSz w:w="11906" w:h="16838"/>
      <w:pgMar w:top="2977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43D4F" w14:textId="77777777" w:rsidR="00D21F3B" w:rsidRDefault="00D21F3B" w:rsidP="004266E8">
      <w:pPr>
        <w:spacing w:after="0" w:line="240" w:lineRule="auto"/>
      </w:pPr>
      <w:r>
        <w:separator/>
      </w:r>
    </w:p>
  </w:endnote>
  <w:endnote w:type="continuationSeparator" w:id="0">
    <w:p w14:paraId="080A4E8B" w14:textId="77777777" w:rsidR="00D21F3B" w:rsidRDefault="00D21F3B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8F0A3" w14:textId="77777777" w:rsidR="00D21F3B" w:rsidRDefault="00D21F3B" w:rsidP="004266E8">
      <w:pPr>
        <w:spacing w:after="0" w:line="240" w:lineRule="auto"/>
      </w:pPr>
      <w:r>
        <w:separator/>
      </w:r>
    </w:p>
  </w:footnote>
  <w:footnote w:type="continuationSeparator" w:id="0">
    <w:p w14:paraId="710A6824" w14:textId="77777777" w:rsidR="00D21F3B" w:rsidRDefault="00D21F3B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18F"/>
    <w:multiLevelType w:val="multilevel"/>
    <w:tmpl w:val="83F857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5279EB"/>
    <w:multiLevelType w:val="multilevel"/>
    <w:tmpl w:val="DD88680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990542">
    <w:abstractNumId w:val="1"/>
  </w:num>
  <w:num w:numId="2" w16cid:durableId="1113935372">
    <w:abstractNumId w:val="2"/>
  </w:num>
  <w:num w:numId="3" w16cid:durableId="871193393">
    <w:abstractNumId w:val="0"/>
  </w:num>
  <w:num w:numId="4" w16cid:durableId="1187790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92399"/>
    <w:rsid w:val="000F19A5"/>
    <w:rsid w:val="0013083A"/>
    <w:rsid w:val="002128B3"/>
    <w:rsid w:val="002B1A73"/>
    <w:rsid w:val="00396241"/>
    <w:rsid w:val="004266E8"/>
    <w:rsid w:val="004B38DB"/>
    <w:rsid w:val="004B40BB"/>
    <w:rsid w:val="006103B0"/>
    <w:rsid w:val="00843BB3"/>
    <w:rsid w:val="00890EC7"/>
    <w:rsid w:val="00923AB3"/>
    <w:rsid w:val="00936233"/>
    <w:rsid w:val="009D5FAD"/>
    <w:rsid w:val="00A1303E"/>
    <w:rsid w:val="00A13FEC"/>
    <w:rsid w:val="00A82D0C"/>
    <w:rsid w:val="00AD7554"/>
    <w:rsid w:val="00C23800"/>
    <w:rsid w:val="00CB5274"/>
    <w:rsid w:val="00CB5D41"/>
    <w:rsid w:val="00CD2E92"/>
    <w:rsid w:val="00D036D8"/>
    <w:rsid w:val="00D21F3B"/>
    <w:rsid w:val="00D334B0"/>
    <w:rsid w:val="00D60F1E"/>
    <w:rsid w:val="00DC1564"/>
    <w:rsid w:val="00E2690C"/>
    <w:rsid w:val="00E36FBD"/>
    <w:rsid w:val="00E64C21"/>
    <w:rsid w:val="00E84332"/>
    <w:rsid w:val="00E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1827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ehedrich@mac.com</cp:lastModifiedBy>
  <cp:revision>2</cp:revision>
  <cp:lastPrinted>2021-11-23T09:25:00Z</cp:lastPrinted>
  <dcterms:created xsi:type="dcterms:W3CDTF">2024-10-31T19:45:00Z</dcterms:created>
  <dcterms:modified xsi:type="dcterms:W3CDTF">2024-10-31T19:45:00Z</dcterms:modified>
</cp:coreProperties>
</file>